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2065" w:rsidRDefault="00F72065" w:rsidP="0031340B">
      <w:pPr>
        <w:spacing w:after="450" w:line="240" w:lineRule="auto"/>
        <w:rPr>
          <w:rFonts w:eastAsia="Times New Roman" w:cstheme="minorHAnsi"/>
          <w:color w:val="323132"/>
          <w:kern w:val="0"/>
          <w:sz w:val="24"/>
          <w:szCs w:val="24"/>
          <w14:ligatures w14:val="none"/>
        </w:rPr>
      </w:pPr>
    </w:p>
    <w:p w:rsidR="00E125AF" w:rsidRDefault="00E125AF" w:rsidP="0031340B">
      <w:pPr>
        <w:spacing w:after="450" w:line="240" w:lineRule="auto"/>
        <w:rPr>
          <w:rFonts w:eastAsia="Times New Roman" w:cstheme="minorHAnsi"/>
          <w:color w:val="323132"/>
          <w:kern w:val="0"/>
          <w:sz w:val="24"/>
          <w:szCs w:val="24"/>
          <w14:ligatures w14:val="none"/>
        </w:rPr>
      </w:pPr>
    </w:p>
    <w:p w:rsidR="00F72065" w:rsidRPr="00F72065" w:rsidRDefault="00F72065" w:rsidP="00F72065">
      <w:pPr>
        <w:spacing w:after="450" w:line="240" w:lineRule="auto"/>
        <w:jc w:val="center"/>
        <w:rPr>
          <w:rFonts w:eastAsia="Times New Roman" w:cstheme="minorHAnsi"/>
          <w:b/>
          <w:bCs/>
          <w:color w:val="323132"/>
          <w:kern w:val="0"/>
          <w:sz w:val="28"/>
          <w:szCs w:val="28"/>
          <w:u w:val="single"/>
          <w14:ligatures w14:val="none"/>
        </w:rPr>
      </w:pPr>
      <w:r w:rsidRPr="00F72065">
        <w:rPr>
          <w:rFonts w:eastAsia="Times New Roman" w:cstheme="minorHAnsi"/>
          <w:b/>
          <w:bCs/>
          <w:color w:val="323132"/>
          <w:kern w:val="0"/>
          <w:sz w:val="28"/>
          <w:szCs w:val="28"/>
          <w:u w:val="single"/>
          <w14:ligatures w14:val="none"/>
        </w:rPr>
        <w:t>New Maryland Construction General Permit (20-CP) Information</w:t>
      </w:r>
    </w:p>
    <w:p w:rsidR="00E125AF" w:rsidRDefault="0031340B" w:rsidP="00E125AF">
      <w:pPr>
        <w:spacing w:after="450" w:line="240" w:lineRule="auto"/>
        <w:rPr>
          <w:rFonts w:eastAsia="Times New Roman" w:cstheme="minorHAnsi"/>
          <w:color w:val="323132"/>
          <w:kern w:val="0"/>
          <w:sz w:val="24"/>
          <w:szCs w:val="24"/>
          <w14:ligatures w14:val="none"/>
        </w:rPr>
      </w:pPr>
      <w:r w:rsidRPr="0031340B">
        <w:rPr>
          <w:rFonts w:eastAsia="Times New Roman" w:cstheme="minorHAnsi"/>
          <w:color w:val="323132"/>
          <w:kern w:val="0"/>
          <w:sz w:val="24"/>
          <w:szCs w:val="24"/>
          <w14:ligatures w14:val="none"/>
        </w:rPr>
        <w:t>Maryland’s new General Permit for Stormwater Discharge Associated with Construction Activity (20-CP) w</w:t>
      </w:r>
      <w:r w:rsidR="00E125AF">
        <w:rPr>
          <w:rFonts w:eastAsia="Times New Roman" w:cstheme="minorHAnsi"/>
          <w:color w:val="323132"/>
          <w:kern w:val="0"/>
          <w:sz w:val="24"/>
          <w:szCs w:val="24"/>
          <w14:ligatures w14:val="none"/>
        </w:rPr>
        <w:t>ent into</w:t>
      </w:r>
      <w:r w:rsidRPr="0031340B">
        <w:rPr>
          <w:rFonts w:eastAsia="Times New Roman" w:cstheme="minorHAnsi"/>
          <w:color w:val="323132"/>
          <w:kern w:val="0"/>
          <w:sz w:val="24"/>
          <w:szCs w:val="24"/>
          <w14:ligatures w14:val="none"/>
        </w:rPr>
        <w:t xml:space="preserve"> effective on April 1, 2023. The reissuance has been long anticipated; the previous General Permit for Stormwater Discharge (14-GP) </w:t>
      </w:r>
      <w:r w:rsidR="00E125AF">
        <w:rPr>
          <w:rFonts w:eastAsia="Times New Roman" w:cstheme="minorHAnsi"/>
          <w:color w:val="323132"/>
          <w:kern w:val="0"/>
          <w:sz w:val="24"/>
          <w:szCs w:val="24"/>
          <w14:ligatures w14:val="none"/>
        </w:rPr>
        <w:t xml:space="preserve">that </w:t>
      </w:r>
      <w:r w:rsidRPr="0031340B">
        <w:rPr>
          <w:rFonts w:eastAsia="Times New Roman" w:cstheme="minorHAnsi"/>
          <w:color w:val="323132"/>
          <w:kern w:val="0"/>
          <w:sz w:val="24"/>
          <w:szCs w:val="24"/>
          <w14:ligatures w14:val="none"/>
        </w:rPr>
        <w:t>expired December 31, 2019</w:t>
      </w:r>
      <w:r w:rsidR="00F72065">
        <w:rPr>
          <w:rFonts w:eastAsia="Times New Roman" w:cstheme="minorHAnsi"/>
          <w:color w:val="323132"/>
          <w:kern w:val="0"/>
          <w:sz w:val="24"/>
          <w:szCs w:val="24"/>
          <w14:ligatures w14:val="none"/>
        </w:rPr>
        <w:t>.</w:t>
      </w:r>
      <w:r w:rsidR="00E125AF" w:rsidRPr="0031340B">
        <w:rPr>
          <w:rFonts w:eastAsia="Times New Roman" w:cstheme="minorHAnsi"/>
          <w:color w:val="323132"/>
          <w:kern w:val="0"/>
          <w:sz w:val="24"/>
          <w:szCs w:val="24"/>
          <w14:ligatures w14:val="none"/>
        </w:rPr>
        <w:t xml:space="preserve"> </w:t>
      </w:r>
    </w:p>
    <w:p w:rsidR="00E125AF" w:rsidRDefault="00E125AF" w:rsidP="00E125AF">
      <w:pPr>
        <w:spacing w:after="450" w:line="240" w:lineRule="auto"/>
        <w:rPr>
          <w:rFonts w:eastAsia="Times New Roman" w:cstheme="minorHAnsi"/>
          <w:color w:val="323132"/>
          <w:kern w:val="0"/>
          <w:sz w:val="24"/>
          <w:szCs w:val="24"/>
          <w14:ligatures w14:val="none"/>
        </w:rPr>
      </w:pPr>
      <w:r w:rsidRPr="0031340B">
        <w:rPr>
          <w:rFonts w:eastAsia="Times New Roman" w:cstheme="minorHAnsi"/>
          <w:color w:val="323132"/>
          <w:kern w:val="0"/>
          <w:sz w:val="24"/>
          <w:szCs w:val="24"/>
          <w14:ligatures w14:val="none"/>
        </w:rPr>
        <w:t>In May 2020, the U.S. Environmental Protection Agency deemed the expired permit unacceptable and requested MDE require all permittees who had permits issued after December 31, 2019 to sign a Declaration of Intent (DOI) that committed the permittee to following the requirements of the permit, regardless of its expiration, while MDE worked on finalizing the 20-CP.</w:t>
      </w:r>
    </w:p>
    <w:p w:rsidR="00E125AF" w:rsidRDefault="00F72065" w:rsidP="00E125AF">
      <w:pPr>
        <w:spacing w:after="450" w:line="240" w:lineRule="auto"/>
        <w:rPr>
          <w:rFonts w:eastAsia="Times New Roman" w:cstheme="minorHAnsi"/>
          <w:color w:val="323132"/>
          <w:kern w:val="0"/>
          <w:sz w:val="24"/>
          <w:szCs w:val="24"/>
          <w14:ligatures w14:val="none"/>
        </w:rPr>
      </w:pPr>
      <w:r>
        <w:rPr>
          <w:rFonts w:eastAsia="Times New Roman" w:cstheme="minorHAnsi"/>
          <w:color w:val="323132"/>
          <w:kern w:val="0"/>
          <w:sz w:val="24"/>
          <w:szCs w:val="24"/>
          <w14:ligatures w14:val="none"/>
        </w:rPr>
        <w:t>S</w:t>
      </w:r>
      <w:r w:rsidR="0031340B" w:rsidRPr="0031340B">
        <w:rPr>
          <w:rFonts w:eastAsia="Times New Roman" w:cstheme="minorHAnsi"/>
          <w:color w:val="323132"/>
          <w:kern w:val="0"/>
          <w:sz w:val="24"/>
          <w:szCs w:val="24"/>
          <w14:ligatures w14:val="none"/>
        </w:rPr>
        <w:t xml:space="preserve">ummarized key points below in order of appearance in the permit. Links to the permit and other resources from the Maryland Department of the Environment (MDE) are provided at the bottom of this page. </w:t>
      </w:r>
    </w:p>
    <w:p w:rsidR="0031340B" w:rsidRPr="00E125AF" w:rsidRDefault="0031340B" w:rsidP="00E125AF">
      <w:pPr>
        <w:spacing w:after="0" w:line="240" w:lineRule="auto"/>
        <w:rPr>
          <w:rFonts w:eastAsia="Times New Roman" w:cstheme="minorHAnsi"/>
          <w:b/>
          <w:bCs/>
          <w:color w:val="323132"/>
          <w:kern w:val="0"/>
          <w:sz w:val="24"/>
          <w:szCs w:val="24"/>
          <w:u w:val="single"/>
          <w14:ligatures w14:val="none"/>
        </w:rPr>
      </w:pPr>
      <w:r w:rsidRPr="00E125AF">
        <w:rPr>
          <w:rFonts w:eastAsia="Times New Roman" w:cstheme="minorHAnsi"/>
          <w:b/>
          <w:bCs/>
          <w:color w:val="4472C4" w:themeColor="accent1"/>
          <w:kern w:val="0"/>
          <w:sz w:val="24"/>
          <w:szCs w:val="24"/>
          <w:u w:val="single"/>
          <w14:ligatures w14:val="none"/>
        </w:rPr>
        <w:t>Notable in the 20-CP</w:t>
      </w:r>
    </w:p>
    <w:p w:rsidR="0031340B" w:rsidRPr="0031340B" w:rsidRDefault="0031340B" w:rsidP="0031340B">
      <w:pPr>
        <w:numPr>
          <w:ilvl w:val="0"/>
          <w:numId w:val="1"/>
        </w:numPr>
        <w:spacing w:after="75" w:line="360" w:lineRule="atLeast"/>
        <w:ind w:hanging="165"/>
        <w:rPr>
          <w:rFonts w:eastAsia="Times New Roman" w:cstheme="minorHAnsi"/>
          <w:color w:val="323132"/>
          <w:kern w:val="0"/>
          <w:sz w:val="24"/>
          <w:szCs w:val="24"/>
          <w14:ligatures w14:val="none"/>
        </w:rPr>
      </w:pPr>
      <w:r w:rsidRPr="0031340B">
        <w:rPr>
          <w:rFonts w:eastAsia="Times New Roman" w:cstheme="minorHAnsi"/>
          <w:color w:val="323132"/>
          <w:kern w:val="0"/>
          <w:sz w:val="24"/>
          <w:szCs w:val="24"/>
          <w14:ligatures w14:val="none"/>
        </w:rPr>
        <w:t>Projects operating under the 14-GP will need to </w:t>
      </w:r>
      <w:r w:rsidRPr="0031340B">
        <w:rPr>
          <w:rFonts w:eastAsia="Times New Roman" w:cstheme="minorHAnsi"/>
          <w:b/>
          <w:bCs/>
          <w:color w:val="323132"/>
          <w:kern w:val="0"/>
          <w:sz w:val="24"/>
          <w:szCs w:val="24"/>
          <w14:ligatures w14:val="none"/>
        </w:rPr>
        <w:t>apply for authorization</w:t>
      </w:r>
      <w:r w:rsidRPr="0031340B">
        <w:rPr>
          <w:rFonts w:eastAsia="Times New Roman" w:cstheme="minorHAnsi"/>
          <w:color w:val="323132"/>
          <w:kern w:val="0"/>
          <w:sz w:val="24"/>
          <w:szCs w:val="24"/>
          <w14:ligatures w14:val="none"/>
        </w:rPr>
        <w:t> via a Notice of Intent (NOI) under the new 20-CP by September 30, 2023.</w:t>
      </w:r>
    </w:p>
    <w:p w:rsidR="0031340B" w:rsidRPr="0031340B" w:rsidRDefault="0031340B" w:rsidP="0031340B">
      <w:pPr>
        <w:numPr>
          <w:ilvl w:val="0"/>
          <w:numId w:val="1"/>
        </w:numPr>
        <w:spacing w:after="75" w:line="360" w:lineRule="atLeast"/>
        <w:ind w:hanging="165"/>
        <w:rPr>
          <w:rFonts w:eastAsia="Times New Roman" w:cstheme="minorHAnsi"/>
          <w:color w:val="323132"/>
          <w:kern w:val="0"/>
          <w:sz w:val="24"/>
          <w:szCs w:val="24"/>
          <w14:ligatures w14:val="none"/>
        </w:rPr>
      </w:pPr>
      <w:r w:rsidRPr="0031340B">
        <w:rPr>
          <w:rFonts w:eastAsia="Times New Roman" w:cstheme="minorHAnsi"/>
          <w:color w:val="323132"/>
          <w:kern w:val="0"/>
          <w:sz w:val="24"/>
          <w:szCs w:val="24"/>
          <w14:ligatures w14:val="none"/>
        </w:rPr>
        <w:t>Under the new 20-CP, the </w:t>
      </w:r>
      <w:r w:rsidRPr="0031340B">
        <w:rPr>
          <w:rFonts w:eastAsia="Times New Roman" w:cstheme="minorHAnsi"/>
          <w:b/>
          <w:bCs/>
          <w:color w:val="323132"/>
          <w:kern w:val="0"/>
          <w:sz w:val="24"/>
          <w:szCs w:val="24"/>
          <w14:ligatures w14:val="none"/>
        </w:rPr>
        <w:t>14-day public notice will begin after</w:t>
      </w:r>
      <w:r w:rsidRPr="0031340B">
        <w:rPr>
          <w:rFonts w:eastAsia="Times New Roman" w:cstheme="minorHAnsi"/>
          <w:color w:val="323132"/>
          <w:kern w:val="0"/>
          <w:sz w:val="24"/>
          <w:szCs w:val="24"/>
          <w14:ligatures w14:val="none"/>
        </w:rPr>
        <w:t> a Stormwater Pollution Prevention Plan (SWPPP) has been fully prepared and the Erosion and Sediment Control (ESC) plan fully approved, where previously the 14-day public comment period started immediately once the NOI had been submitted without the need for a completed SWPPP and approved ESC plan.</w:t>
      </w:r>
    </w:p>
    <w:p w:rsidR="0031340B" w:rsidRPr="0031340B" w:rsidRDefault="0031340B" w:rsidP="0031340B">
      <w:pPr>
        <w:numPr>
          <w:ilvl w:val="0"/>
          <w:numId w:val="1"/>
        </w:numPr>
        <w:spacing w:after="75" w:line="360" w:lineRule="atLeast"/>
        <w:ind w:hanging="165"/>
        <w:rPr>
          <w:rFonts w:eastAsia="Times New Roman" w:cstheme="minorHAnsi"/>
          <w:color w:val="323132"/>
          <w:kern w:val="0"/>
          <w:sz w:val="24"/>
          <w:szCs w:val="24"/>
          <w14:ligatures w14:val="none"/>
        </w:rPr>
      </w:pPr>
      <w:r w:rsidRPr="0031340B">
        <w:rPr>
          <w:rFonts w:eastAsia="Times New Roman" w:cstheme="minorHAnsi"/>
          <w:b/>
          <w:bCs/>
          <w:color w:val="323132"/>
          <w:kern w:val="0"/>
          <w:sz w:val="24"/>
          <w:szCs w:val="24"/>
          <w14:ligatures w14:val="none"/>
        </w:rPr>
        <w:t>NOI application requirements</w:t>
      </w:r>
      <w:r w:rsidRPr="0031340B">
        <w:rPr>
          <w:rFonts w:eastAsia="Times New Roman" w:cstheme="minorHAnsi"/>
          <w:color w:val="323132"/>
          <w:kern w:val="0"/>
          <w:sz w:val="24"/>
          <w:szCs w:val="24"/>
          <w14:ligatures w14:val="none"/>
        </w:rPr>
        <w:t> reflect increased focus on pollution prevention; some examples include:</w:t>
      </w:r>
    </w:p>
    <w:p w:rsidR="0031340B" w:rsidRPr="0031340B" w:rsidRDefault="0031340B" w:rsidP="0031340B">
      <w:pPr>
        <w:numPr>
          <w:ilvl w:val="1"/>
          <w:numId w:val="1"/>
        </w:numPr>
        <w:spacing w:after="75" w:line="360" w:lineRule="atLeast"/>
        <w:ind w:hanging="165"/>
        <w:rPr>
          <w:rFonts w:eastAsia="Times New Roman" w:cstheme="minorHAnsi"/>
          <w:color w:val="323132"/>
          <w:kern w:val="0"/>
          <w:sz w:val="24"/>
          <w:szCs w:val="24"/>
          <w14:ligatures w14:val="none"/>
        </w:rPr>
      </w:pPr>
      <w:r w:rsidRPr="0031340B">
        <w:rPr>
          <w:rFonts w:eastAsia="Times New Roman" w:cstheme="minorHAnsi"/>
          <w:color w:val="323132"/>
          <w:kern w:val="0"/>
          <w:sz w:val="24"/>
          <w:szCs w:val="24"/>
          <w14:ligatures w14:val="none"/>
        </w:rPr>
        <w:t>Site Information, Responsible Person, Proof of Workers Compensation Insurance Coverage</w:t>
      </w:r>
    </w:p>
    <w:p w:rsidR="0031340B" w:rsidRPr="0031340B" w:rsidRDefault="0031340B" w:rsidP="0031340B">
      <w:pPr>
        <w:numPr>
          <w:ilvl w:val="1"/>
          <w:numId w:val="1"/>
        </w:numPr>
        <w:spacing w:after="75" w:line="360" w:lineRule="atLeast"/>
        <w:ind w:hanging="165"/>
        <w:rPr>
          <w:rFonts w:eastAsia="Times New Roman" w:cstheme="minorHAnsi"/>
          <w:color w:val="323132"/>
          <w:kern w:val="0"/>
          <w:sz w:val="24"/>
          <w:szCs w:val="24"/>
          <w14:ligatures w14:val="none"/>
        </w:rPr>
      </w:pPr>
      <w:r w:rsidRPr="0031340B">
        <w:rPr>
          <w:rFonts w:eastAsia="Times New Roman" w:cstheme="minorHAnsi"/>
          <w:color w:val="323132"/>
          <w:kern w:val="0"/>
          <w:sz w:val="24"/>
          <w:szCs w:val="24"/>
          <w14:ligatures w14:val="none"/>
        </w:rPr>
        <w:t>Project &amp; Watershed information</w:t>
      </w:r>
    </w:p>
    <w:p w:rsidR="0031340B" w:rsidRPr="0031340B" w:rsidRDefault="0031340B" w:rsidP="0031340B">
      <w:pPr>
        <w:numPr>
          <w:ilvl w:val="1"/>
          <w:numId w:val="1"/>
        </w:numPr>
        <w:spacing w:after="75" w:line="360" w:lineRule="atLeast"/>
        <w:ind w:hanging="165"/>
        <w:rPr>
          <w:rFonts w:eastAsia="Times New Roman" w:cstheme="minorHAnsi"/>
          <w:color w:val="323132"/>
          <w:kern w:val="0"/>
          <w:sz w:val="24"/>
          <w:szCs w:val="24"/>
          <w14:ligatures w14:val="none"/>
        </w:rPr>
      </w:pPr>
      <w:r w:rsidRPr="0031340B">
        <w:rPr>
          <w:rFonts w:eastAsia="Times New Roman" w:cstheme="minorHAnsi"/>
          <w:color w:val="323132"/>
          <w:kern w:val="0"/>
          <w:sz w:val="24"/>
          <w:szCs w:val="24"/>
          <w14:ligatures w14:val="none"/>
        </w:rPr>
        <w:t>Approved Erosion and Sediment Control Plan and associated information (RCNs, BMPs, Area of Disturbance, Impervious Cover) and a vicinity map</w:t>
      </w:r>
    </w:p>
    <w:p w:rsidR="0031340B" w:rsidRPr="0031340B" w:rsidRDefault="0031340B" w:rsidP="0031340B">
      <w:pPr>
        <w:numPr>
          <w:ilvl w:val="1"/>
          <w:numId w:val="1"/>
        </w:numPr>
        <w:spacing w:after="75" w:line="360" w:lineRule="atLeast"/>
        <w:ind w:hanging="165"/>
        <w:rPr>
          <w:rFonts w:eastAsia="Times New Roman" w:cstheme="minorHAnsi"/>
          <w:color w:val="323132"/>
          <w:kern w:val="0"/>
          <w:sz w:val="24"/>
          <w:szCs w:val="24"/>
          <w14:ligatures w14:val="none"/>
        </w:rPr>
      </w:pPr>
      <w:r w:rsidRPr="0031340B">
        <w:rPr>
          <w:rFonts w:eastAsia="Times New Roman" w:cstheme="minorHAnsi"/>
          <w:color w:val="323132"/>
          <w:kern w:val="0"/>
          <w:sz w:val="24"/>
          <w:szCs w:val="24"/>
          <w14:ligatures w14:val="none"/>
        </w:rPr>
        <w:lastRenderedPageBreak/>
        <w:t>Tier II Antidegradation Checklist (if applicable)</w:t>
      </w:r>
    </w:p>
    <w:p w:rsidR="0031340B" w:rsidRPr="0031340B" w:rsidRDefault="0031340B" w:rsidP="0031340B">
      <w:pPr>
        <w:numPr>
          <w:ilvl w:val="1"/>
          <w:numId w:val="1"/>
        </w:numPr>
        <w:spacing w:after="75" w:line="360" w:lineRule="atLeast"/>
        <w:ind w:hanging="165"/>
        <w:rPr>
          <w:rFonts w:eastAsia="Times New Roman" w:cstheme="minorHAnsi"/>
          <w:color w:val="323132"/>
          <w:kern w:val="0"/>
          <w:sz w:val="24"/>
          <w:szCs w:val="24"/>
          <w14:ligatures w14:val="none"/>
        </w:rPr>
      </w:pPr>
      <w:r w:rsidRPr="0031340B">
        <w:rPr>
          <w:rFonts w:eastAsia="Times New Roman" w:cstheme="minorHAnsi"/>
          <w:color w:val="323132"/>
          <w:kern w:val="0"/>
          <w:sz w:val="24"/>
          <w:szCs w:val="24"/>
          <w14:ligatures w14:val="none"/>
        </w:rPr>
        <w:t>Completed SWPPP</w:t>
      </w:r>
    </w:p>
    <w:p w:rsidR="0031340B" w:rsidRPr="0031340B" w:rsidRDefault="0031340B" w:rsidP="0031340B">
      <w:pPr>
        <w:numPr>
          <w:ilvl w:val="1"/>
          <w:numId w:val="1"/>
        </w:numPr>
        <w:spacing w:after="75" w:line="360" w:lineRule="atLeast"/>
        <w:ind w:hanging="165"/>
        <w:rPr>
          <w:rFonts w:eastAsia="Times New Roman" w:cstheme="minorHAnsi"/>
          <w:color w:val="323132"/>
          <w:kern w:val="0"/>
          <w:sz w:val="24"/>
          <w:szCs w:val="24"/>
          <w14:ligatures w14:val="none"/>
        </w:rPr>
      </w:pPr>
      <w:r w:rsidRPr="0031340B">
        <w:rPr>
          <w:rFonts w:eastAsia="Times New Roman" w:cstheme="minorHAnsi"/>
          <w:color w:val="323132"/>
          <w:kern w:val="0"/>
          <w:sz w:val="24"/>
          <w:szCs w:val="24"/>
          <w14:ligatures w14:val="none"/>
        </w:rPr>
        <w:t>Indication if known contaminated soils are being disturbed (if applicable)</w:t>
      </w:r>
    </w:p>
    <w:p w:rsidR="0031340B" w:rsidRPr="0031340B" w:rsidRDefault="0031340B" w:rsidP="0031340B">
      <w:pPr>
        <w:numPr>
          <w:ilvl w:val="1"/>
          <w:numId w:val="1"/>
        </w:numPr>
        <w:spacing w:after="75" w:line="360" w:lineRule="atLeast"/>
        <w:ind w:hanging="165"/>
        <w:rPr>
          <w:rFonts w:eastAsia="Times New Roman" w:cstheme="minorHAnsi"/>
          <w:color w:val="323132"/>
          <w:kern w:val="0"/>
          <w:sz w:val="24"/>
          <w:szCs w:val="24"/>
          <w14:ligatures w14:val="none"/>
        </w:rPr>
      </w:pPr>
      <w:r w:rsidRPr="0031340B">
        <w:rPr>
          <w:rFonts w:eastAsia="Times New Roman" w:cstheme="minorHAnsi"/>
          <w:color w:val="323132"/>
          <w:kern w:val="0"/>
          <w:sz w:val="24"/>
          <w:szCs w:val="24"/>
          <w14:ligatures w14:val="none"/>
        </w:rPr>
        <w:t>Indication if chemical additives are used for flocculation (if applicable)</w:t>
      </w:r>
    </w:p>
    <w:p w:rsidR="0031340B" w:rsidRPr="0031340B" w:rsidRDefault="0031340B" w:rsidP="0031340B">
      <w:pPr>
        <w:numPr>
          <w:ilvl w:val="1"/>
          <w:numId w:val="1"/>
        </w:numPr>
        <w:spacing w:after="75" w:line="360" w:lineRule="atLeast"/>
        <w:ind w:hanging="165"/>
        <w:rPr>
          <w:rFonts w:eastAsia="Times New Roman" w:cstheme="minorHAnsi"/>
          <w:color w:val="323132"/>
          <w:kern w:val="0"/>
          <w:sz w:val="24"/>
          <w:szCs w:val="24"/>
          <w14:ligatures w14:val="none"/>
        </w:rPr>
      </w:pPr>
      <w:r w:rsidRPr="0031340B">
        <w:rPr>
          <w:rFonts w:eastAsia="Times New Roman" w:cstheme="minorHAnsi"/>
          <w:color w:val="323132"/>
          <w:kern w:val="0"/>
          <w:sz w:val="24"/>
          <w:szCs w:val="24"/>
          <w14:ligatures w14:val="none"/>
        </w:rPr>
        <w:t>Rare, Threatened or Endangered species or designated critical habitats and if they are addressed in the E&amp;SC Plan or SWPPP</w:t>
      </w:r>
    </w:p>
    <w:p w:rsidR="0031340B" w:rsidRPr="0031340B" w:rsidRDefault="0031340B" w:rsidP="0031340B">
      <w:pPr>
        <w:numPr>
          <w:ilvl w:val="1"/>
          <w:numId w:val="1"/>
        </w:numPr>
        <w:spacing w:after="0" w:line="360" w:lineRule="atLeast"/>
        <w:ind w:hanging="165"/>
        <w:rPr>
          <w:rFonts w:eastAsia="Times New Roman" w:cstheme="minorHAnsi"/>
          <w:color w:val="323132"/>
          <w:kern w:val="0"/>
          <w:sz w:val="24"/>
          <w:szCs w:val="24"/>
          <w14:ligatures w14:val="none"/>
        </w:rPr>
      </w:pPr>
      <w:r w:rsidRPr="0031340B">
        <w:rPr>
          <w:rFonts w:eastAsia="Times New Roman" w:cstheme="minorHAnsi"/>
          <w:color w:val="323132"/>
          <w:kern w:val="0"/>
          <w:sz w:val="24"/>
          <w:szCs w:val="24"/>
          <w14:ligatures w14:val="none"/>
        </w:rPr>
        <w:t>Indication if dewatering benchmarks are applicable</w:t>
      </w:r>
    </w:p>
    <w:p w:rsidR="0031340B" w:rsidRPr="0031340B" w:rsidRDefault="0031340B" w:rsidP="0031340B">
      <w:pPr>
        <w:numPr>
          <w:ilvl w:val="0"/>
          <w:numId w:val="1"/>
        </w:numPr>
        <w:spacing w:after="75" w:line="360" w:lineRule="atLeast"/>
        <w:ind w:hanging="165"/>
        <w:rPr>
          <w:rFonts w:eastAsia="Times New Roman" w:cstheme="minorHAnsi"/>
          <w:color w:val="323132"/>
          <w:kern w:val="0"/>
          <w:sz w:val="24"/>
          <w:szCs w:val="24"/>
          <w14:ligatures w14:val="none"/>
        </w:rPr>
      </w:pPr>
      <w:r w:rsidRPr="0031340B">
        <w:rPr>
          <w:rFonts w:eastAsia="Times New Roman" w:cstheme="minorHAnsi"/>
          <w:b/>
          <w:bCs/>
          <w:color w:val="323132"/>
          <w:kern w:val="0"/>
          <w:sz w:val="24"/>
          <w:szCs w:val="24"/>
          <w14:ligatures w14:val="none"/>
        </w:rPr>
        <w:t>Use of chemical additives for sediment control</w:t>
      </w:r>
      <w:r w:rsidRPr="0031340B">
        <w:rPr>
          <w:rFonts w:eastAsia="Times New Roman" w:cstheme="minorHAnsi"/>
          <w:color w:val="323132"/>
          <w:kern w:val="0"/>
          <w:sz w:val="24"/>
          <w:szCs w:val="24"/>
          <w14:ligatures w14:val="none"/>
        </w:rPr>
        <w:t> is addressed for the first time in the CGP (Part I.C.3).</w:t>
      </w:r>
    </w:p>
    <w:p w:rsidR="0031340B" w:rsidRPr="0031340B" w:rsidRDefault="0031340B" w:rsidP="0031340B">
      <w:pPr>
        <w:numPr>
          <w:ilvl w:val="1"/>
          <w:numId w:val="1"/>
        </w:numPr>
        <w:spacing w:after="75" w:line="360" w:lineRule="atLeast"/>
        <w:ind w:hanging="165"/>
        <w:rPr>
          <w:rFonts w:eastAsia="Times New Roman" w:cstheme="minorHAnsi"/>
          <w:color w:val="323132"/>
          <w:kern w:val="0"/>
          <w:sz w:val="24"/>
          <w:szCs w:val="24"/>
          <w14:ligatures w14:val="none"/>
        </w:rPr>
      </w:pPr>
      <w:r w:rsidRPr="0031340B">
        <w:rPr>
          <w:rFonts w:eastAsia="Times New Roman" w:cstheme="minorHAnsi"/>
          <w:color w:val="323132"/>
          <w:kern w:val="0"/>
          <w:sz w:val="24"/>
          <w:szCs w:val="24"/>
          <w14:ligatures w14:val="none"/>
        </w:rPr>
        <w:t>When chemical additive use is anticipated, the permittee must disclose it in the NOI application and provide details in the project’s SWPPP.</w:t>
      </w:r>
    </w:p>
    <w:p w:rsidR="0031340B" w:rsidRPr="0031340B" w:rsidRDefault="0031340B" w:rsidP="0031340B">
      <w:pPr>
        <w:numPr>
          <w:ilvl w:val="1"/>
          <w:numId w:val="1"/>
        </w:numPr>
        <w:spacing w:after="0" w:line="360" w:lineRule="atLeast"/>
        <w:ind w:hanging="165"/>
        <w:rPr>
          <w:rFonts w:eastAsia="Times New Roman" w:cstheme="minorHAnsi"/>
          <w:color w:val="323132"/>
          <w:kern w:val="0"/>
          <w:sz w:val="24"/>
          <w:szCs w:val="24"/>
          <w14:ligatures w14:val="none"/>
        </w:rPr>
      </w:pPr>
      <w:r w:rsidRPr="0031340B">
        <w:rPr>
          <w:rFonts w:eastAsia="Times New Roman" w:cstheme="minorHAnsi"/>
          <w:color w:val="323132"/>
          <w:kern w:val="0"/>
          <w:sz w:val="24"/>
          <w:szCs w:val="24"/>
          <w14:ligatures w14:val="none"/>
        </w:rPr>
        <w:t>Chemical additives not on the 20-CP’s pre-approved list will require review per the protocol provided in the 20-CP. Cationic polymer use requires additional review with residual testing.</w:t>
      </w:r>
    </w:p>
    <w:p w:rsidR="0031340B" w:rsidRPr="0031340B" w:rsidRDefault="0031340B" w:rsidP="0031340B">
      <w:pPr>
        <w:numPr>
          <w:ilvl w:val="0"/>
          <w:numId w:val="1"/>
        </w:numPr>
        <w:spacing w:after="75" w:line="360" w:lineRule="atLeast"/>
        <w:ind w:hanging="165"/>
        <w:rPr>
          <w:rFonts w:eastAsia="Times New Roman" w:cstheme="minorHAnsi"/>
          <w:color w:val="323132"/>
          <w:kern w:val="0"/>
          <w:sz w:val="24"/>
          <w:szCs w:val="24"/>
          <w14:ligatures w14:val="none"/>
        </w:rPr>
      </w:pPr>
      <w:r w:rsidRPr="0031340B">
        <w:rPr>
          <w:rFonts w:eastAsia="Times New Roman" w:cstheme="minorHAnsi"/>
          <w:b/>
          <w:bCs/>
          <w:color w:val="323132"/>
          <w:kern w:val="0"/>
          <w:sz w:val="24"/>
          <w:szCs w:val="24"/>
          <w14:ligatures w14:val="none"/>
        </w:rPr>
        <w:t>The 20-CP mandates that permittees meet new Stream Protection Zone requirements.</w:t>
      </w:r>
      <w:r w:rsidRPr="0031340B">
        <w:rPr>
          <w:rFonts w:eastAsia="Times New Roman" w:cstheme="minorHAnsi"/>
          <w:color w:val="323132"/>
          <w:kern w:val="0"/>
          <w:sz w:val="24"/>
          <w:szCs w:val="24"/>
          <w14:ligatures w14:val="none"/>
        </w:rPr>
        <w:t> “The Stream Protection Zone consists of a natural buffer from the site’s earth disturbances to edge of stream of at least 50 feet for Tier I watersheds, or an average of 100 feet and not less than 50 feet at any point for Tier II watersheds, or other appropriate E&amp;SCs in addition to, or instead of, a Stream Protection Zone. Additional requirements may also apply based on State regulations or local criteria (e.g., wetlands and waterways, forest conservation, and critical area).” Specifics for implementation are in Part III.A.2.a, Appendix B, and Appendix C.</w:t>
      </w:r>
    </w:p>
    <w:p w:rsidR="0031340B" w:rsidRPr="0031340B" w:rsidRDefault="0031340B" w:rsidP="0031340B">
      <w:pPr>
        <w:numPr>
          <w:ilvl w:val="0"/>
          <w:numId w:val="1"/>
        </w:numPr>
        <w:spacing w:after="75" w:line="360" w:lineRule="atLeast"/>
        <w:ind w:hanging="165"/>
        <w:rPr>
          <w:rFonts w:eastAsia="Times New Roman" w:cstheme="minorHAnsi"/>
          <w:color w:val="323132"/>
          <w:kern w:val="0"/>
          <w:sz w:val="24"/>
          <w:szCs w:val="24"/>
          <w14:ligatures w14:val="none"/>
        </w:rPr>
      </w:pPr>
      <w:r w:rsidRPr="0031340B">
        <w:rPr>
          <w:rFonts w:eastAsia="Times New Roman" w:cstheme="minorHAnsi"/>
          <w:b/>
          <w:bCs/>
          <w:color w:val="323132"/>
          <w:kern w:val="0"/>
          <w:sz w:val="24"/>
          <w:szCs w:val="24"/>
          <w14:ligatures w14:val="none"/>
        </w:rPr>
        <w:t>Pollution prevention requirements</w:t>
      </w:r>
      <w:r w:rsidRPr="0031340B">
        <w:rPr>
          <w:rFonts w:eastAsia="Times New Roman" w:cstheme="minorHAnsi"/>
          <w:color w:val="323132"/>
          <w:kern w:val="0"/>
          <w:sz w:val="24"/>
          <w:szCs w:val="24"/>
          <w14:ligatures w14:val="none"/>
        </w:rPr>
        <w:t> have been added to the 20-CP in Part III.A.3 to detail the controls required to prevent pollutant discharges and to minimize the discharge of pollutants from spilled or leaked materials.</w:t>
      </w:r>
    </w:p>
    <w:p w:rsidR="0031340B" w:rsidRPr="0031340B" w:rsidRDefault="0031340B" w:rsidP="0031340B">
      <w:pPr>
        <w:numPr>
          <w:ilvl w:val="0"/>
          <w:numId w:val="1"/>
        </w:numPr>
        <w:spacing w:after="75" w:line="360" w:lineRule="atLeast"/>
        <w:ind w:hanging="165"/>
        <w:rPr>
          <w:rFonts w:eastAsia="Times New Roman" w:cstheme="minorHAnsi"/>
          <w:color w:val="323132"/>
          <w:kern w:val="0"/>
          <w:sz w:val="24"/>
          <w:szCs w:val="24"/>
          <w14:ligatures w14:val="none"/>
        </w:rPr>
      </w:pPr>
      <w:r w:rsidRPr="0031340B">
        <w:rPr>
          <w:rFonts w:eastAsia="Times New Roman" w:cstheme="minorHAnsi"/>
          <w:b/>
          <w:bCs/>
          <w:color w:val="323132"/>
          <w:kern w:val="0"/>
          <w:sz w:val="24"/>
          <w:szCs w:val="24"/>
          <w14:ligatures w14:val="none"/>
        </w:rPr>
        <w:t>Inspection timing</w:t>
      </w:r>
      <w:r w:rsidRPr="0031340B">
        <w:rPr>
          <w:rFonts w:eastAsia="Times New Roman" w:cstheme="minorHAnsi"/>
          <w:color w:val="323132"/>
          <w:kern w:val="0"/>
          <w:sz w:val="24"/>
          <w:szCs w:val="24"/>
          <w14:ligatures w14:val="none"/>
        </w:rPr>
        <w:t> has been refined in Part III.C.2 &amp; Part III.C.3. These changes provide a more prescribed inspection schedule, in contrast with the 14-GP’s requirement for weekly inspections paired with post-rain inspections within 24 hours of a runoff producing event; rainfall quantity was not specified.</w:t>
      </w:r>
    </w:p>
    <w:p w:rsidR="0031340B" w:rsidRPr="0031340B" w:rsidRDefault="0031340B" w:rsidP="0031340B">
      <w:pPr>
        <w:numPr>
          <w:ilvl w:val="1"/>
          <w:numId w:val="1"/>
        </w:numPr>
        <w:spacing w:after="0" w:line="360" w:lineRule="atLeast"/>
        <w:ind w:hanging="165"/>
        <w:rPr>
          <w:rFonts w:eastAsia="Times New Roman" w:cstheme="minorHAnsi"/>
          <w:color w:val="323132"/>
          <w:kern w:val="0"/>
          <w:sz w:val="24"/>
          <w:szCs w:val="24"/>
          <w14:ligatures w14:val="none"/>
        </w:rPr>
      </w:pPr>
      <w:r w:rsidRPr="0031340B">
        <w:rPr>
          <w:rFonts w:eastAsia="Times New Roman" w:cstheme="minorHAnsi"/>
          <w:color w:val="323132"/>
          <w:kern w:val="0"/>
          <w:sz w:val="24"/>
          <w:szCs w:val="24"/>
          <w14:ligatures w14:val="none"/>
        </w:rPr>
        <w:t>Permittees will now have the option to choose from two regimens:</w:t>
      </w:r>
    </w:p>
    <w:p w:rsidR="0031340B" w:rsidRPr="0031340B" w:rsidRDefault="0031340B" w:rsidP="0031340B">
      <w:pPr>
        <w:numPr>
          <w:ilvl w:val="2"/>
          <w:numId w:val="1"/>
        </w:numPr>
        <w:spacing w:after="75" w:line="360" w:lineRule="atLeast"/>
        <w:ind w:hanging="165"/>
        <w:rPr>
          <w:rFonts w:eastAsia="Times New Roman" w:cstheme="minorHAnsi"/>
          <w:color w:val="323132"/>
          <w:kern w:val="0"/>
          <w:sz w:val="24"/>
          <w:szCs w:val="24"/>
          <w14:ligatures w14:val="none"/>
        </w:rPr>
      </w:pPr>
      <w:r w:rsidRPr="0031340B">
        <w:rPr>
          <w:rFonts w:eastAsia="Times New Roman" w:cstheme="minorHAnsi"/>
          <w:color w:val="323132"/>
          <w:kern w:val="0"/>
          <w:sz w:val="24"/>
          <w:szCs w:val="24"/>
          <w14:ligatures w14:val="none"/>
        </w:rPr>
        <w:t>Once every four business days or</w:t>
      </w:r>
    </w:p>
    <w:p w:rsidR="0031340B" w:rsidRPr="0031340B" w:rsidRDefault="0031340B" w:rsidP="0031340B">
      <w:pPr>
        <w:numPr>
          <w:ilvl w:val="2"/>
          <w:numId w:val="1"/>
        </w:numPr>
        <w:spacing w:after="75" w:line="360" w:lineRule="atLeast"/>
        <w:ind w:hanging="165"/>
        <w:rPr>
          <w:rFonts w:eastAsia="Times New Roman" w:cstheme="minorHAnsi"/>
          <w:color w:val="323132"/>
          <w:kern w:val="0"/>
          <w:sz w:val="24"/>
          <w:szCs w:val="24"/>
          <w14:ligatures w14:val="none"/>
        </w:rPr>
      </w:pPr>
      <w:r w:rsidRPr="0031340B">
        <w:rPr>
          <w:rFonts w:eastAsia="Times New Roman" w:cstheme="minorHAnsi"/>
          <w:color w:val="323132"/>
          <w:kern w:val="0"/>
          <w:sz w:val="24"/>
          <w:szCs w:val="24"/>
          <w14:ligatures w14:val="none"/>
        </w:rPr>
        <w:t>On a weekly schedule that also requires ¼” rain event inspections.</w:t>
      </w:r>
    </w:p>
    <w:p w:rsidR="0031340B" w:rsidRPr="0031340B" w:rsidRDefault="0031340B" w:rsidP="0031340B">
      <w:pPr>
        <w:numPr>
          <w:ilvl w:val="2"/>
          <w:numId w:val="1"/>
        </w:numPr>
        <w:spacing w:after="0" w:line="360" w:lineRule="atLeast"/>
        <w:ind w:hanging="165"/>
        <w:rPr>
          <w:rFonts w:eastAsia="Times New Roman" w:cstheme="minorHAnsi"/>
          <w:color w:val="323132"/>
          <w:kern w:val="0"/>
          <w:sz w:val="24"/>
          <w:szCs w:val="24"/>
          <w14:ligatures w14:val="none"/>
        </w:rPr>
      </w:pPr>
      <w:r w:rsidRPr="0031340B">
        <w:rPr>
          <w:rFonts w:eastAsia="Times New Roman" w:cstheme="minorHAnsi"/>
          <w:color w:val="323132"/>
          <w:kern w:val="0"/>
          <w:sz w:val="24"/>
          <w:szCs w:val="24"/>
          <w14:ligatures w14:val="none"/>
        </w:rPr>
        <w:lastRenderedPageBreak/>
        <w:t>Projects that discharge to Tier II waters have a more demanding inspection schedule of twice weekly.</w:t>
      </w:r>
    </w:p>
    <w:p w:rsidR="0031340B" w:rsidRPr="0031340B" w:rsidRDefault="0031340B" w:rsidP="0031340B">
      <w:pPr>
        <w:numPr>
          <w:ilvl w:val="0"/>
          <w:numId w:val="1"/>
        </w:numPr>
        <w:spacing w:after="75" w:line="360" w:lineRule="atLeast"/>
        <w:ind w:hanging="165"/>
        <w:rPr>
          <w:rFonts w:eastAsia="Times New Roman" w:cstheme="minorHAnsi"/>
          <w:color w:val="323132"/>
          <w:kern w:val="0"/>
          <w:sz w:val="24"/>
          <w:szCs w:val="24"/>
          <w14:ligatures w14:val="none"/>
        </w:rPr>
      </w:pPr>
      <w:r w:rsidRPr="0031340B">
        <w:rPr>
          <w:rFonts w:eastAsia="Times New Roman" w:cstheme="minorHAnsi"/>
          <w:color w:val="323132"/>
          <w:kern w:val="0"/>
          <w:sz w:val="24"/>
          <w:szCs w:val="24"/>
          <w14:ligatures w14:val="none"/>
        </w:rPr>
        <w:t>A </w:t>
      </w:r>
      <w:r w:rsidRPr="0031340B">
        <w:rPr>
          <w:rFonts w:eastAsia="Times New Roman" w:cstheme="minorHAnsi"/>
          <w:b/>
          <w:bCs/>
          <w:color w:val="323132"/>
          <w:kern w:val="0"/>
          <w:sz w:val="24"/>
          <w:szCs w:val="24"/>
          <w14:ligatures w14:val="none"/>
        </w:rPr>
        <w:t>SWPPP</w:t>
      </w:r>
      <w:r w:rsidRPr="0031340B">
        <w:rPr>
          <w:rFonts w:eastAsia="Times New Roman" w:cstheme="minorHAnsi"/>
          <w:color w:val="323132"/>
          <w:kern w:val="0"/>
          <w:sz w:val="24"/>
          <w:szCs w:val="24"/>
          <w14:ligatures w14:val="none"/>
        </w:rPr>
        <w:t> will now be required if the operator has any of the following conditions at their site, as noted in Part III.F.1:</w:t>
      </w:r>
    </w:p>
    <w:p w:rsidR="0031340B" w:rsidRPr="0031340B" w:rsidRDefault="0031340B" w:rsidP="0031340B">
      <w:pPr>
        <w:numPr>
          <w:ilvl w:val="1"/>
          <w:numId w:val="1"/>
        </w:numPr>
        <w:spacing w:after="75" w:line="360" w:lineRule="atLeast"/>
        <w:ind w:hanging="165"/>
        <w:rPr>
          <w:rFonts w:eastAsia="Times New Roman" w:cstheme="minorHAnsi"/>
          <w:color w:val="323132"/>
          <w:kern w:val="0"/>
          <w:sz w:val="24"/>
          <w:szCs w:val="24"/>
          <w14:ligatures w14:val="none"/>
        </w:rPr>
      </w:pPr>
      <w:r w:rsidRPr="0031340B">
        <w:rPr>
          <w:rFonts w:eastAsia="Times New Roman" w:cstheme="minorHAnsi"/>
          <w:color w:val="323132"/>
          <w:kern w:val="0"/>
          <w:sz w:val="24"/>
          <w:szCs w:val="24"/>
          <w14:ligatures w14:val="none"/>
        </w:rPr>
        <w:t>The use of chemical additives or polymers for sediment control</w:t>
      </w:r>
    </w:p>
    <w:p w:rsidR="0031340B" w:rsidRPr="0031340B" w:rsidRDefault="0031340B" w:rsidP="0031340B">
      <w:pPr>
        <w:numPr>
          <w:ilvl w:val="1"/>
          <w:numId w:val="1"/>
        </w:numPr>
        <w:spacing w:after="75" w:line="360" w:lineRule="atLeast"/>
        <w:ind w:hanging="165"/>
        <w:rPr>
          <w:rFonts w:eastAsia="Times New Roman" w:cstheme="minorHAnsi"/>
          <w:color w:val="323132"/>
          <w:kern w:val="0"/>
          <w:sz w:val="24"/>
          <w:szCs w:val="24"/>
          <w14:ligatures w14:val="none"/>
        </w:rPr>
      </w:pPr>
      <w:r w:rsidRPr="0031340B">
        <w:rPr>
          <w:rFonts w:eastAsia="Times New Roman" w:cstheme="minorHAnsi"/>
          <w:color w:val="323132"/>
          <w:kern w:val="0"/>
          <w:sz w:val="24"/>
          <w:szCs w:val="24"/>
          <w14:ligatures w14:val="none"/>
        </w:rPr>
        <w:t>Construction activity that calls for disturbing material or soils with known contamination by toxic or hazardous substances (Part I.D.6 and Part III.B.3)</w:t>
      </w:r>
    </w:p>
    <w:p w:rsidR="0031340B" w:rsidRPr="0031340B" w:rsidRDefault="0031340B" w:rsidP="0031340B">
      <w:pPr>
        <w:numPr>
          <w:ilvl w:val="1"/>
          <w:numId w:val="1"/>
        </w:numPr>
        <w:spacing w:after="75" w:line="360" w:lineRule="atLeast"/>
        <w:ind w:hanging="165"/>
        <w:rPr>
          <w:rFonts w:eastAsia="Times New Roman" w:cstheme="minorHAnsi"/>
          <w:color w:val="323132"/>
          <w:kern w:val="0"/>
          <w:sz w:val="24"/>
          <w:szCs w:val="24"/>
          <w14:ligatures w14:val="none"/>
        </w:rPr>
      </w:pPr>
      <w:r w:rsidRPr="0031340B">
        <w:rPr>
          <w:rFonts w:eastAsia="Times New Roman" w:cstheme="minorHAnsi"/>
          <w:color w:val="323132"/>
          <w:kern w:val="0"/>
          <w:sz w:val="24"/>
          <w:szCs w:val="24"/>
          <w14:ligatures w14:val="none"/>
        </w:rPr>
        <w:t>Dewatering activity requiring turbidity benchmarks (Part III.B.4)</w:t>
      </w:r>
    </w:p>
    <w:p w:rsidR="0031340B" w:rsidRPr="0031340B" w:rsidRDefault="0031340B" w:rsidP="0031340B">
      <w:pPr>
        <w:numPr>
          <w:ilvl w:val="1"/>
          <w:numId w:val="1"/>
        </w:numPr>
        <w:spacing w:after="75" w:line="360" w:lineRule="atLeast"/>
        <w:ind w:hanging="165"/>
        <w:rPr>
          <w:rFonts w:eastAsia="Times New Roman" w:cstheme="minorHAnsi"/>
          <w:color w:val="323132"/>
          <w:kern w:val="0"/>
          <w:sz w:val="24"/>
          <w:szCs w:val="24"/>
          <w14:ligatures w14:val="none"/>
        </w:rPr>
      </w:pPr>
      <w:r w:rsidRPr="0031340B">
        <w:rPr>
          <w:rFonts w:eastAsia="Times New Roman" w:cstheme="minorHAnsi"/>
          <w:color w:val="323132"/>
          <w:kern w:val="0"/>
          <w:sz w:val="24"/>
          <w:szCs w:val="24"/>
          <w14:ligatures w14:val="none"/>
        </w:rPr>
        <w:t>MDE requirements for using additional controls to meet water quality standards (Part III.B.1)</w:t>
      </w:r>
    </w:p>
    <w:p w:rsidR="0031340B" w:rsidRPr="0031340B" w:rsidRDefault="0031340B" w:rsidP="0031340B">
      <w:pPr>
        <w:numPr>
          <w:ilvl w:val="1"/>
          <w:numId w:val="1"/>
        </w:numPr>
        <w:spacing w:after="75" w:line="360" w:lineRule="atLeast"/>
        <w:ind w:hanging="165"/>
        <w:rPr>
          <w:rFonts w:eastAsia="Times New Roman" w:cstheme="minorHAnsi"/>
          <w:color w:val="323132"/>
          <w:kern w:val="0"/>
          <w:sz w:val="24"/>
          <w:szCs w:val="24"/>
          <w14:ligatures w14:val="none"/>
        </w:rPr>
      </w:pPr>
      <w:r w:rsidRPr="0031340B">
        <w:rPr>
          <w:rFonts w:eastAsia="Times New Roman" w:cstheme="minorHAnsi"/>
          <w:color w:val="323132"/>
          <w:kern w:val="0"/>
          <w:sz w:val="24"/>
          <w:szCs w:val="24"/>
          <w14:ligatures w14:val="none"/>
        </w:rPr>
        <w:t>Use of controls associated with any of the pollution prevention activities referenced in Part III.A.3 (some projects smaller than five acres are exempt)</w:t>
      </w:r>
    </w:p>
    <w:p w:rsidR="0031340B" w:rsidRPr="0031340B" w:rsidRDefault="0031340B" w:rsidP="0031340B">
      <w:pPr>
        <w:numPr>
          <w:ilvl w:val="1"/>
          <w:numId w:val="1"/>
        </w:numPr>
        <w:spacing w:after="75" w:line="360" w:lineRule="atLeast"/>
        <w:ind w:hanging="165"/>
        <w:rPr>
          <w:rFonts w:eastAsia="Times New Roman" w:cstheme="minorHAnsi"/>
          <w:color w:val="323132"/>
          <w:kern w:val="0"/>
          <w:sz w:val="24"/>
          <w:szCs w:val="24"/>
          <w14:ligatures w14:val="none"/>
        </w:rPr>
      </w:pPr>
      <w:r w:rsidRPr="0031340B">
        <w:rPr>
          <w:rFonts w:eastAsia="Times New Roman" w:cstheme="minorHAnsi"/>
          <w:color w:val="323132"/>
          <w:kern w:val="0"/>
          <w:sz w:val="24"/>
          <w:szCs w:val="24"/>
          <w14:ligatures w14:val="none"/>
        </w:rPr>
        <w:t>Sharing permit-related functions between and among operators on the same site</w:t>
      </w:r>
    </w:p>
    <w:p w:rsidR="0031340B" w:rsidRPr="0031340B" w:rsidRDefault="0031340B" w:rsidP="0031340B">
      <w:pPr>
        <w:numPr>
          <w:ilvl w:val="1"/>
          <w:numId w:val="1"/>
        </w:numPr>
        <w:spacing w:after="0" w:line="360" w:lineRule="atLeast"/>
        <w:ind w:hanging="165"/>
        <w:rPr>
          <w:rFonts w:eastAsia="Times New Roman" w:cstheme="minorHAnsi"/>
          <w:color w:val="323132"/>
          <w:kern w:val="0"/>
          <w:sz w:val="24"/>
          <w:szCs w:val="24"/>
          <w14:ligatures w14:val="none"/>
        </w:rPr>
      </w:pPr>
      <w:r w:rsidRPr="0031340B">
        <w:rPr>
          <w:rFonts w:eastAsia="Times New Roman" w:cstheme="minorHAnsi"/>
          <w:color w:val="323132"/>
          <w:kern w:val="0"/>
          <w:sz w:val="24"/>
          <w:szCs w:val="24"/>
          <w14:ligatures w14:val="none"/>
        </w:rPr>
        <w:t>Where coverage under this permit is required but Title 4 provides grounds to exempt E&amp;SC or SWM plan requirements or both</w:t>
      </w:r>
    </w:p>
    <w:p w:rsidR="0031340B" w:rsidRPr="0031340B" w:rsidRDefault="0031340B" w:rsidP="0031340B">
      <w:pPr>
        <w:numPr>
          <w:ilvl w:val="0"/>
          <w:numId w:val="1"/>
        </w:numPr>
        <w:spacing w:after="0" w:line="360" w:lineRule="atLeast"/>
        <w:ind w:hanging="165"/>
        <w:rPr>
          <w:rFonts w:eastAsia="Times New Roman" w:cstheme="minorHAnsi"/>
          <w:color w:val="323132"/>
          <w:kern w:val="0"/>
          <w:sz w:val="24"/>
          <w:szCs w:val="24"/>
          <w14:ligatures w14:val="none"/>
        </w:rPr>
      </w:pPr>
      <w:r w:rsidRPr="0031340B">
        <w:rPr>
          <w:rFonts w:eastAsia="Times New Roman" w:cstheme="minorHAnsi"/>
          <w:b/>
          <w:bCs/>
          <w:color w:val="323132"/>
          <w:kern w:val="0"/>
          <w:sz w:val="24"/>
          <w:szCs w:val="24"/>
          <w14:ligatures w14:val="none"/>
        </w:rPr>
        <w:t>Turbidity benchmark monitoring</w:t>
      </w:r>
      <w:r w:rsidRPr="0031340B">
        <w:rPr>
          <w:rFonts w:eastAsia="Times New Roman" w:cstheme="minorHAnsi"/>
          <w:color w:val="323132"/>
          <w:kern w:val="0"/>
          <w:sz w:val="24"/>
          <w:szCs w:val="24"/>
          <w14:ligatures w14:val="none"/>
        </w:rPr>
        <w:t> is now required for sites where the dewatering effluent discharges to sensitive waters (Tier II or Impaired Waters) or there is a sediment or a sediment-related parameter. Details are in Part III.B.4.</w:t>
      </w:r>
    </w:p>
    <w:p w:rsidR="00E125AF" w:rsidRDefault="00E125AF" w:rsidP="00E125AF">
      <w:pPr>
        <w:spacing w:after="0" w:line="240" w:lineRule="auto"/>
        <w:rPr>
          <w:rFonts w:eastAsia="Times New Roman" w:cstheme="minorHAnsi"/>
          <w:color w:val="4472C4" w:themeColor="accent1"/>
          <w:kern w:val="0"/>
          <w:sz w:val="24"/>
          <w:szCs w:val="24"/>
          <w14:ligatures w14:val="none"/>
        </w:rPr>
      </w:pPr>
    </w:p>
    <w:p w:rsidR="0031340B" w:rsidRPr="00E125AF" w:rsidRDefault="0031340B" w:rsidP="00E125AF">
      <w:pPr>
        <w:spacing w:after="0" w:line="240" w:lineRule="auto"/>
        <w:rPr>
          <w:rFonts w:eastAsia="Times New Roman" w:cstheme="minorHAnsi"/>
          <w:b/>
          <w:bCs/>
          <w:color w:val="323132"/>
          <w:kern w:val="0"/>
          <w:sz w:val="24"/>
          <w:szCs w:val="24"/>
          <w:u w:val="single"/>
          <w14:ligatures w14:val="none"/>
        </w:rPr>
      </w:pPr>
      <w:r w:rsidRPr="00E125AF">
        <w:rPr>
          <w:rFonts w:eastAsia="Times New Roman" w:cstheme="minorHAnsi"/>
          <w:b/>
          <w:bCs/>
          <w:color w:val="4472C4" w:themeColor="accent1"/>
          <w:kern w:val="0"/>
          <w:sz w:val="24"/>
          <w:szCs w:val="24"/>
          <w:u w:val="single"/>
          <w14:ligatures w14:val="none"/>
        </w:rPr>
        <w:t>Resources</w:t>
      </w:r>
    </w:p>
    <w:p w:rsidR="0031340B" w:rsidRPr="0031340B" w:rsidRDefault="0031340B" w:rsidP="0031340B">
      <w:pPr>
        <w:numPr>
          <w:ilvl w:val="0"/>
          <w:numId w:val="2"/>
        </w:numPr>
        <w:spacing w:after="75" w:line="360" w:lineRule="atLeast"/>
        <w:ind w:hanging="165"/>
        <w:rPr>
          <w:rFonts w:eastAsia="Times New Roman" w:cstheme="minorHAnsi"/>
          <w:color w:val="323132"/>
          <w:kern w:val="0"/>
          <w:sz w:val="24"/>
          <w:szCs w:val="24"/>
          <w14:ligatures w14:val="none"/>
        </w:rPr>
      </w:pPr>
      <w:r w:rsidRPr="0031340B">
        <w:rPr>
          <w:rFonts w:eastAsia="Times New Roman" w:cstheme="minorHAnsi"/>
          <w:color w:val="323132"/>
          <w:kern w:val="0"/>
          <w:sz w:val="24"/>
          <w:szCs w:val="24"/>
          <w14:ligatures w14:val="none"/>
        </w:rPr>
        <w:t xml:space="preserve">General Permit </w:t>
      </w:r>
      <w:r w:rsidR="00F72065" w:rsidRPr="0031340B">
        <w:rPr>
          <w:rFonts w:eastAsia="Times New Roman" w:cstheme="minorHAnsi"/>
          <w:color w:val="323132"/>
          <w:kern w:val="0"/>
          <w:sz w:val="24"/>
          <w:szCs w:val="24"/>
          <w14:ligatures w14:val="none"/>
        </w:rPr>
        <w:t>for</w:t>
      </w:r>
      <w:r w:rsidRPr="0031340B">
        <w:rPr>
          <w:rFonts w:eastAsia="Times New Roman" w:cstheme="minorHAnsi"/>
          <w:color w:val="323132"/>
          <w:kern w:val="0"/>
          <w:sz w:val="24"/>
          <w:szCs w:val="24"/>
          <w14:ligatures w14:val="none"/>
        </w:rPr>
        <w:t xml:space="preserve"> Discharges of Stormwater Associated </w:t>
      </w:r>
      <w:r w:rsidR="00F72065" w:rsidRPr="0031340B">
        <w:rPr>
          <w:rFonts w:eastAsia="Times New Roman" w:cstheme="minorHAnsi"/>
          <w:color w:val="323132"/>
          <w:kern w:val="0"/>
          <w:sz w:val="24"/>
          <w:szCs w:val="24"/>
          <w14:ligatures w14:val="none"/>
        </w:rPr>
        <w:t>with</w:t>
      </w:r>
      <w:r w:rsidRPr="0031340B">
        <w:rPr>
          <w:rFonts w:eastAsia="Times New Roman" w:cstheme="minorHAnsi"/>
          <w:color w:val="323132"/>
          <w:kern w:val="0"/>
          <w:sz w:val="24"/>
          <w:szCs w:val="24"/>
          <w14:ligatures w14:val="none"/>
        </w:rPr>
        <w:t xml:space="preserve"> Construction Activity, Maryland General Permit No. 20-CP:</w:t>
      </w:r>
    </w:p>
    <w:p w:rsidR="0031340B" w:rsidRPr="00F72065" w:rsidRDefault="00000000" w:rsidP="0031340B">
      <w:pPr>
        <w:numPr>
          <w:ilvl w:val="1"/>
          <w:numId w:val="2"/>
        </w:numPr>
        <w:spacing w:after="75" w:line="360" w:lineRule="atLeast"/>
        <w:ind w:hanging="165"/>
        <w:rPr>
          <w:rFonts w:eastAsia="Times New Roman" w:cstheme="minorHAnsi"/>
          <w:color w:val="4472C4" w:themeColor="accent1"/>
          <w:kern w:val="0"/>
          <w:sz w:val="24"/>
          <w:szCs w:val="24"/>
          <w14:ligatures w14:val="none"/>
        </w:rPr>
      </w:pPr>
      <w:hyperlink r:id="rId7" w:tgtFrame="_blank" w:history="1">
        <w:r w:rsidR="0031340B" w:rsidRPr="00F72065">
          <w:rPr>
            <w:rFonts w:eastAsia="Times New Roman" w:cstheme="minorHAnsi"/>
            <w:color w:val="4472C4" w:themeColor="accent1"/>
            <w:kern w:val="0"/>
            <w:sz w:val="24"/>
            <w:szCs w:val="24"/>
            <w:u w:val="single"/>
            <w14:ligatures w14:val="none"/>
          </w:rPr>
          <w:t xml:space="preserve">General Permit No. 20-CP for Discharges from Stormwater </w:t>
        </w:r>
        <w:r w:rsidR="0031340B" w:rsidRPr="00F72065">
          <w:rPr>
            <w:rFonts w:eastAsia="Times New Roman" w:cstheme="minorHAnsi"/>
            <w:color w:val="4472C4" w:themeColor="accent1"/>
            <w:kern w:val="0"/>
            <w:sz w:val="24"/>
            <w:szCs w:val="24"/>
            <w:u w:val="single"/>
            <w14:ligatures w14:val="none"/>
          </w:rPr>
          <w:t>A</w:t>
        </w:r>
        <w:r w:rsidR="0031340B" w:rsidRPr="00F72065">
          <w:rPr>
            <w:rFonts w:eastAsia="Times New Roman" w:cstheme="minorHAnsi"/>
            <w:color w:val="4472C4" w:themeColor="accent1"/>
            <w:kern w:val="0"/>
            <w:sz w:val="24"/>
            <w:szCs w:val="24"/>
            <w:u w:val="single"/>
            <w14:ligatures w14:val="none"/>
          </w:rPr>
          <w:t>ssociated with Construction Activity</w:t>
        </w:r>
      </w:hyperlink>
    </w:p>
    <w:p w:rsidR="0031340B" w:rsidRPr="00F72065" w:rsidRDefault="00000000" w:rsidP="0031340B">
      <w:pPr>
        <w:numPr>
          <w:ilvl w:val="1"/>
          <w:numId w:val="2"/>
        </w:numPr>
        <w:spacing w:after="75" w:line="360" w:lineRule="atLeast"/>
        <w:ind w:hanging="165"/>
        <w:rPr>
          <w:rFonts w:eastAsia="Times New Roman" w:cstheme="minorHAnsi"/>
          <w:color w:val="4472C4" w:themeColor="accent1"/>
          <w:kern w:val="0"/>
          <w:sz w:val="24"/>
          <w:szCs w:val="24"/>
          <w14:ligatures w14:val="none"/>
        </w:rPr>
      </w:pPr>
      <w:hyperlink r:id="rId8" w:tgtFrame="_blank" w:history="1">
        <w:r w:rsidR="0031340B" w:rsidRPr="00F72065">
          <w:rPr>
            <w:rFonts w:eastAsia="Times New Roman" w:cstheme="minorHAnsi"/>
            <w:color w:val="4472C4" w:themeColor="accent1"/>
            <w:kern w:val="0"/>
            <w:sz w:val="24"/>
            <w:szCs w:val="24"/>
            <w:u w:val="single"/>
            <w14:ligatures w14:val="none"/>
          </w:rPr>
          <w:t>Appendix A – Definitions, Abbreviations, and Acronyms</w:t>
        </w:r>
      </w:hyperlink>
    </w:p>
    <w:p w:rsidR="0031340B" w:rsidRPr="00F72065" w:rsidRDefault="00000000" w:rsidP="0031340B">
      <w:pPr>
        <w:numPr>
          <w:ilvl w:val="1"/>
          <w:numId w:val="2"/>
        </w:numPr>
        <w:spacing w:after="75" w:line="360" w:lineRule="atLeast"/>
        <w:ind w:hanging="165"/>
        <w:rPr>
          <w:rFonts w:eastAsia="Times New Roman" w:cstheme="minorHAnsi"/>
          <w:color w:val="4472C4" w:themeColor="accent1"/>
          <w:kern w:val="0"/>
          <w:sz w:val="24"/>
          <w:szCs w:val="24"/>
          <w14:ligatures w14:val="none"/>
        </w:rPr>
      </w:pPr>
      <w:hyperlink r:id="rId9" w:tgtFrame="_blank" w:history="1">
        <w:r w:rsidR="0031340B" w:rsidRPr="00F72065">
          <w:rPr>
            <w:rFonts w:eastAsia="Times New Roman" w:cstheme="minorHAnsi"/>
            <w:color w:val="4472C4" w:themeColor="accent1"/>
            <w:kern w:val="0"/>
            <w:sz w:val="24"/>
            <w:szCs w:val="24"/>
            <w:u w:val="single"/>
            <w14:ligatures w14:val="none"/>
          </w:rPr>
          <w:t>Appendix B – Stream Protection Zone (SPZ) Requirements</w:t>
        </w:r>
      </w:hyperlink>
    </w:p>
    <w:p w:rsidR="0031340B" w:rsidRPr="00F72065" w:rsidRDefault="00000000" w:rsidP="0031340B">
      <w:pPr>
        <w:numPr>
          <w:ilvl w:val="1"/>
          <w:numId w:val="2"/>
        </w:numPr>
        <w:spacing w:after="0" w:line="360" w:lineRule="atLeast"/>
        <w:ind w:hanging="165"/>
        <w:rPr>
          <w:rFonts w:eastAsia="Times New Roman" w:cstheme="minorHAnsi"/>
          <w:color w:val="4472C4" w:themeColor="accent1"/>
          <w:kern w:val="0"/>
          <w:sz w:val="24"/>
          <w:szCs w:val="24"/>
          <w14:ligatures w14:val="none"/>
        </w:rPr>
      </w:pPr>
      <w:hyperlink r:id="rId10" w:tgtFrame="_blank" w:history="1">
        <w:r w:rsidR="0031340B" w:rsidRPr="00F72065">
          <w:rPr>
            <w:rFonts w:eastAsia="Times New Roman" w:cstheme="minorHAnsi"/>
            <w:color w:val="4472C4" w:themeColor="accent1"/>
            <w:kern w:val="0"/>
            <w:sz w:val="24"/>
            <w:szCs w:val="24"/>
            <w:u w:val="single"/>
            <w14:ligatures w14:val="none"/>
          </w:rPr>
          <w:t>Appendix C – Antidegradation Checklist</w:t>
        </w:r>
      </w:hyperlink>
    </w:p>
    <w:p w:rsidR="0031340B" w:rsidRPr="00F72065" w:rsidRDefault="00000000" w:rsidP="0031340B">
      <w:pPr>
        <w:numPr>
          <w:ilvl w:val="0"/>
          <w:numId w:val="2"/>
        </w:numPr>
        <w:spacing w:after="75" w:line="360" w:lineRule="atLeast"/>
        <w:ind w:hanging="165"/>
        <w:rPr>
          <w:rFonts w:eastAsia="Times New Roman" w:cstheme="minorHAnsi"/>
          <w:color w:val="4472C4" w:themeColor="accent1"/>
          <w:kern w:val="0"/>
          <w:sz w:val="24"/>
          <w:szCs w:val="24"/>
          <w14:ligatures w14:val="none"/>
        </w:rPr>
      </w:pPr>
      <w:hyperlink r:id="rId11" w:tgtFrame="_blank" w:history="1">
        <w:r w:rsidR="0031340B" w:rsidRPr="00F72065">
          <w:rPr>
            <w:rFonts w:eastAsia="Times New Roman" w:cstheme="minorHAnsi"/>
            <w:color w:val="4472C4" w:themeColor="accent1"/>
            <w:kern w:val="0"/>
            <w:sz w:val="24"/>
            <w:szCs w:val="24"/>
            <w:u w:val="single"/>
            <w14:ligatures w14:val="none"/>
          </w:rPr>
          <w:t>MDE’s website for the 20-CP</w:t>
        </w:r>
      </w:hyperlink>
    </w:p>
    <w:p w:rsidR="0031340B" w:rsidRPr="00F72065" w:rsidRDefault="00000000" w:rsidP="0031340B">
      <w:pPr>
        <w:numPr>
          <w:ilvl w:val="0"/>
          <w:numId w:val="2"/>
        </w:numPr>
        <w:spacing w:after="75" w:line="360" w:lineRule="atLeast"/>
        <w:ind w:hanging="165"/>
        <w:rPr>
          <w:rFonts w:eastAsia="Times New Roman" w:cstheme="minorHAnsi"/>
          <w:color w:val="4472C4" w:themeColor="accent1"/>
          <w:kern w:val="0"/>
          <w:sz w:val="24"/>
          <w:szCs w:val="24"/>
          <w14:ligatures w14:val="none"/>
        </w:rPr>
      </w:pPr>
      <w:hyperlink r:id="rId12" w:tgtFrame="_blank" w:history="1">
        <w:r w:rsidR="0031340B" w:rsidRPr="00F72065">
          <w:rPr>
            <w:rFonts w:eastAsia="Times New Roman" w:cstheme="minorHAnsi"/>
            <w:color w:val="4472C4" w:themeColor="accent1"/>
            <w:kern w:val="0"/>
            <w:sz w:val="24"/>
            <w:szCs w:val="24"/>
            <w:u w:val="single"/>
            <w14:ligatures w14:val="none"/>
          </w:rPr>
          <w:t>CP20 Fact Sheet</w:t>
        </w:r>
      </w:hyperlink>
    </w:p>
    <w:p w:rsidR="0031340B" w:rsidRPr="00F72065" w:rsidRDefault="00000000" w:rsidP="0031340B">
      <w:pPr>
        <w:numPr>
          <w:ilvl w:val="0"/>
          <w:numId w:val="2"/>
        </w:numPr>
        <w:spacing w:after="75" w:line="360" w:lineRule="atLeast"/>
        <w:ind w:hanging="165"/>
        <w:rPr>
          <w:rFonts w:eastAsia="Times New Roman" w:cstheme="minorHAnsi"/>
          <w:color w:val="4472C4" w:themeColor="accent1"/>
          <w:kern w:val="0"/>
          <w:sz w:val="24"/>
          <w:szCs w:val="24"/>
          <w14:ligatures w14:val="none"/>
        </w:rPr>
      </w:pPr>
      <w:hyperlink r:id="rId13" w:tgtFrame="_blank" w:history="1">
        <w:r w:rsidR="0031340B" w:rsidRPr="00F72065">
          <w:rPr>
            <w:rFonts w:eastAsia="Times New Roman" w:cstheme="minorHAnsi"/>
            <w:color w:val="4472C4" w:themeColor="accent1"/>
            <w:kern w:val="0"/>
            <w:sz w:val="24"/>
            <w:szCs w:val="24"/>
            <w:u w:val="single"/>
            <w14:ligatures w14:val="none"/>
          </w:rPr>
          <w:t>MDE’s Tier II High Quality Waters Map System</w:t>
        </w:r>
      </w:hyperlink>
    </w:p>
    <w:p w:rsidR="0031340B" w:rsidRPr="00F72065" w:rsidRDefault="00000000" w:rsidP="0031340B">
      <w:pPr>
        <w:numPr>
          <w:ilvl w:val="0"/>
          <w:numId w:val="2"/>
        </w:numPr>
        <w:spacing w:after="0" w:line="360" w:lineRule="atLeast"/>
        <w:ind w:hanging="165"/>
        <w:rPr>
          <w:rFonts w:eastAsia="Times New Roman" w:cstheme="minorHAnsi"/>
          <w:color w:val="4472C4" w:themeColor="accent1"/>
          <w:kern w:val="0"/>
          <w:sz w:val="24"/>
          <w:szCs w:val="24"/>
          <w14:ligatures w14:val="none"/>
        </w:rPr>
      </w:pPr>
      <w:hyperlink r:id="rId14" w:tgtFrame="_blank" w:history="1">
        <w:r w:rsidR="0031340B" w:rsidRPr="00F72065">
          <w:rPr>
            <w:rFonts w:eastAsia="Times New Roman" w:cstheme="minorHAnsi"/>
            <w:color w:val="4472C4" w:themeColor="accent1"/>
            <w:kern w:val="0"/>
            <w:sz w:val="24"/>
            <w:szCs w:val="24"/>
            <w:u w:val="single"/>
            <w14:ligatures w14:val="none"/>
          </w:rPr>
          <w:t>MDE’s Water Quality Assessments (IR) and TMDLs (Impaired Waters) Mapping</w:t>
        </w:r>
      </w:hyperlink>
    </w:p>
    <w:p w:rsidR="008975AB" w:rsidRDefault="008975AB"/>
    <w:sectPr w:rsidR="008975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6E84" w:rsidRDefault="00FA6E84" w:rsidP="00F72065">
      <w:pPr>
        <w:spacing w:after="0" w:line="240" w:lineRule="auto"/>
      </w:pPr>
      <w:r>
        <w:separator/>
      </w:r>
    </w:p>
  </w:endnote>
  <w:endnote w:type="continuationSeparator" w:id="0">
    <w:p w:rsidR="00FA6E84" w:rsidRDefault="00FA6E84" w:rsidP="00F72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6E84" w:rsidRDefault="00FA6E84" w:rsidP="00F72065">
      <w:pPr>
        <w:spacing w:after="0" w:line="240" w:lineRule="auto"/>
      </w:pPr>
      <w:r>
        <w:separator/>
      </w:r>
    </w:p>
  </w:footnote>
  <w:footnote w:type="continuationSeparator" w:id="0">
    <w:p w:rsidR="00FA6E84" w:rsidRDefault="00FA6E84" w:rsidP="00F72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F1FD5"/>
    <w:multiLevelType w:val="multilevel"/>
    <w:tmpl w:val="BD423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C927E3"/>
    <w:multiLevelType w:val="multilevel"/>
    <w:tmpl w:val="D8D4F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1129841">
    <w:abstractNumId w:val="1"/>
  </w:num>
  <w:num w:numId="2" w16cid:durableId="1576624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40B"/>
    <w:rsid w:val="0031340B"/>
    <w:rsid w:val="004C3F28"/>
    <w:rsid w:val="008975AB"/>
    <w:rsid w:val="00E125AF"/>
    <w:rsid w:val="00F72065"/>
    <w:rsid w:val="00FA6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70340"/>
  <w15:chartTrackingRefBased/>
  <w15:docId w15:val="{70C10418-6537-4A20-8356-6E8929CA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0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65"/>
  </w:style>
  <w:style w:type="paragraph" w:styleId="Footer">
    <w:name w:val="footer"/>
    <w:basedOn w:val="Normal"/>
    <w:link w:val="FooterChar"/>
    <w:uiPriority w:val="99"/>
    <w:unhideWhenUsed/>
    <w:rsid w:val="00F720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65"/>
  </w:style>
  <w:style w:type="character" w:styleId="Hyperlink">
    <w:name w:val="Hyperlink"/>
    <w:basedOn w:val="DefaultParagraphFont"/>
    <w:uiPriority w:val="99"/>
    <w:unhideWhenUsed/>
    <w:rsid w:val="00F720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64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tlands.com/wp-content/uploads/20CP-AppendixA-Final.pdf" TargetMode="External"/><Relationship Id="rId13" Type="http://schemas.openxmlformats.org/officeDocument/2006/relationships/hyperlink" Target="https://mdewin64.mde.state.md.us/WSA/TierIIWQ/index.html" TargetMode="External"/><Relationship Id="rId3" Type="http://schemas.openxmlformats.org/officeDocument/2006/relationships/settings" Target="settings.xml"/><Relationship Id="rId7" Type="http://schemas.openxmlformats.org/officeDocument/2006/relationships/hyperlink" Target="https://www.wetlands.com/wp-content/uploads/20CP-Permit-Final.pdf" TargetMode="External"/><Relationship Id="rId12" Type="http://schemas.openxmlformats.org/officeDocument/2006/relationships/hyperlink" Target="https://mde.maryland.gov/programs/water/wwp/Documents/20CP-Final/20CP-FactSheet-Final.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de.maryland.gov/programs/water/wwp/Pages/gp_construction.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wetlands.com/wp-content/uploads/20CP-AppendixC-Final.pdf" TargetMode="External"/><Relationship Id="rId4" Type="http://schemas.openxmlformats.org/officeDocument/2006/relationships/webSettings" Target="webSettings.xml"/><Relationship Id="rId9" Type="http://schemas.openxmlformats.org/officeDocument/2006/relationships/hyperlink" Target="https://www.wetlands.com/wp-content/uploads/20CP-AppendixB-Final.pdf" TargetMode="External"/><Relationship Id="rId14" Type="http://schemas.openxmlformats.org/officeDocument/2006/relationships/hyperlink" Target="https://mdewin64.mde.state.md.us/WSA/IR-TMDL/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Catoctin and Frederick Soil Conservation</dc:creator>
  <cp:keywords/>
  <dc:description/>
  <cp:lastModifiedBy>Catoctin and Frederick Soil Conservation</cp:lastModifiedBy>
  <cp:revision>2</cp:revision>
  <cp:lastPrinted>2023-05-24T17:42:00Z</cp:lastPrinted>
  <dcterms:created xsi:type="dcterms:W3CDTF">2023-05-24T17:48:00Z</dcterms:created>
  <dcterms:modified xsi:type="dcterms:W3CDTF">2023-05-24T17:48:00Z</dcterms:modified>
</cp:coreProperties>
</file>